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7194"/>
      </w:tblGrid>
      <w:tr>
        <w:trPr>
          <w:trHeight w:val="1845" w:hRule="atLeast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76" w:before="0" w:after="0"/>
              <w:ind w:right="-5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>
            <w:pPr>
              <w:pStyle w:val="Normal"/>
              <w:spacing w:lineRule="auto" w:line="360" w:before="0" w:after="0"/>
              <w:ind w:right="-5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ГОСУДАРСТВЕННОЕ УЧРЕЖДЕНИЕ –</w:t>
            </w:r>
          </w:p>
          <w:p>
            <w:pPr>
              <w:pStyle w:val="Normal"/>
              <w:spacing w:lineRule="auto" w:line="360" w:before="0" w:after="0"/>
              <w:ind w:right="-5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УПРАВЛЕНИЕ ПЕНСИОННОГО ФОНДА</w:t>
            </w:r>
          </w:p>
          <w:p>
            <w:pPr>
              <w:pStyle w:val="Normal"/>
              <w:spacing w:lineRule="auto" w:line="360" w:before="0" w:after="0"/>
              <w:ind w:right="-5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РОССИЙСКОЙ ФЕДЕРАЦИИ В Г.УССУРИЙСКЕ  ПРИМОРСКОГО КРАЯ (МЕЖРАЙОННОЕ)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000000"/>
        </w:rPr>
        <w:t>Распорядиться материнским капиталом на обучение детей стало проще</w:t>
      </w:r>
    </w:p>
    <w:p>
      <w:pPr>
        <w:pStyle w:val="Normal"/>
        <w:jc w:val="both"/>
        <w:rPr/>
      </w:pPr>
      <w:r>
        <w:rPr>
          <w:b/>
          <w:sz w:val="20"/>
        </w:rPr>
        <w:t>06 ноября 2020г., Уссурийск</w:t>
      </w:r>
    </w:p>
    <w:p>
      <w:pPr>
        <w:pStyle w:val="Normal"/>
        <w:spacing w:beforeAutospacing="1" w:afterAutospacing="1"/>
        <w:jc w:val="both"/>
        <w:rPr/>
      </w:pPr>
      <w:r>
        <w:rPr>
          <w:rFonts w:ascii="Times New Roman" w:hAnsi="Times New Roman"/>
        </w:rPr>
        <w:t>С 2010 года более 314 млн. рублей направили семьи Уссурийского городского округа, Михайловского и Октябрьского райо</w:t>
      </w:r>
      <w:r>
        <w:rPr>
          <w:rFonts w:ascii="Times New Roman" w:hAnsi="Times New Roman"/>
        </w:rPr>
        <w:t>нов</w:t>
      </w:r>
      <w:r>
        <w:rPr>
          <w:rFonts w:ascii="Times New Roman" w:hAnsi="Times New Roman"/>
        </w:rPr>
        <w:t xml:space="preserve"> из средств материнского капитала на образование детей. Напомним, средствами материнского капитала можно оплатить учебу в ВУЗе, колледже, автошколе, проживание в общежитии, которое предоставляет учебное заведение обучающимся на период обучения, содержание ребенка (детей) в детском саду, в том числе и частном.</w:t>
      </w:r>
      <w:r>
        <w:rPr/>
        <w:t xml:space="preserve"> </w:t>
      </w:r>
    </w:p>
    <w:p>
      <w:pPr>
        <w:pStyle w:val="Normal"/>
        <w:spacing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использовать средства материнского капитала на получение высшего или  среднего специального образования необходимо, чтобы ребенку, в связи с появлением которого возникло  право на капитал, исполнилось 3 </w:t>
      </w:r>
      <w:bookmarkStart w:id="0" w:name="_GoBack"/>
      <w:bookmarkEnd w:id="0"/>
      <w:r>
        <w:rPr>
          <w:rFonts w:ascii="Times New Roman" w:hAnsi="Times New Roman"/>
        </w:rPr>
        <w:t>года. На дату начала обучения ребенок не должен быть старше 25 лет, а учебная организация должна находиться в России и иметь лицензию на оказание образовательных услуг.</w:t>
      </w:r>
    </w:p>
    <w:p>
      <w:pPr>
        <w:pStyle w:val="Normal"/>
        <w:spacing w:beforeAutospacing="1" w:afterAutospacing="1"/>
        <w:jc w:val="both"/>
        <w:rPr>
          <w:rFonts w:ascii="Times New Roman" w:hAnsi="Times New Roman"/>
        </w:rPr>
      </w:pPr>
      <w:r>
        <w:rPr>
          <w:rFonts w:cs="Tms Rmn" w:ascii="Times New Roman" w:hAnsi="Times New Roman"/>
          <w:color w:val="000000"/>
        </w:rPr>
        <w:t xml:space="preserve">Исключением является дошкольное образование. Использовать материнский капитал по этому направлению можно сразу после рождения ребенка. </w:t>
      </w:r>
    </w:p>
    <w:p>
      <w:pPr>
        <w:pStyle w:val="Normal"/>
        <w:spacing w:beforeAutospacing="1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текущем году Пенсионный фонд упростил процедуру распоряжения средствами материнского капитала на образование детей. Чтобы родители могли быстрее и проще распорядиться материнским капиталом на эти цели, региональные отделения ПФР заключают Соглашения об информационном обмене с учебными заведениями по всей стране. После заключения Соглашения необходимую информацию о договоре на оказание платных услуг ПФР запросит в учебном заведении сам. Владельцу капитала остается только подать заявление на распоряжение средствами МСК в электронном виде в Личном кабинете на сайте ПФР или портале госуслуг.</w:t>
      </w:r>
    </w:p>
    <w:p>
      <w:pPr>
        <w:pStyle w:val="Normal"/>
        <w:widowControl/>
        <w:bidi w:val="0"/>
        <w:spacing w:lineRule="auto" w:line="276" w:before="240" w:after="0"/>
        <w:ind w:left="0" w:right="0" w:hanging="0"/>
        <w:jc w:val="both"/>
        <w:rPr/>
      </w:pPr>
      <w:r>
        <w:rPr>
          <w:rFonts w:ascii="Times New Roman" w:hAnsi="Times New Roman"/>
          <w:sz w:val="22"/>
          <w:szCs w:val="22"/>
        </w:rPr>
        <w:t>Список образовательных учреждений, с которыми заключены такие соглашения, можно найти на сайте ПФР.</w:t>
      </w:r>
      <w:r>
        <w:rPr>
          <w:rFonts w:cs="Tms Rmn" w:ascii="Times New Roman" w:hAnsi="Times New Roman"/>
          <w:color w:val="000000"/>
          <w:sz w:val="22"/>
          <w:szCs w:val="22"/>
        </w:rPr>
        <w:t xml:space="preserve"> </w:t>
      </w:r>
      <w:hyperlink r:id="rId3">
        <w:r>
          <w:rPr>
            <w:rStyle w:val="Style"/>
            <w:rFonts w:cs="Tms Rmn" w:ascii="Times New Roman" w:hAnsi="Times New Roman"/>
            <w:color w:val="0000FF"/>
            <w:sz w:val="22"/>
            <w:szCs w:val="22"/>
            <w:u w:val="single"/>
          </w:rPr>
          <w:t>Список заведений</w:t>
        </w:r>
      </w:hyperlink>
      <w:r>
        <w:rPr>
          <w:rFonts w:cs="Tms Rmn" w:ascii="Times New Roman" w:hAnsi="Times New Roman"/>
          <w:color w:val="000000"/>
          <w:sz w:val="22"/>
          <w:szCs w:val="22"/>
        </w:rPr>
        <w:t>, обменивающихся информацией с фондом, будет ежемесячно пополняться. Всего планируется заключить более полутора тысяч соглашений с учебными заведениями по всей стране.</w:t>
      </w:r>
    </w:p>
    <w:p>
      <w:pPr>
        <w:pStyle w:val="NormalWeb"/>
        <w:spacing w:before="280" w:after="280"/>
        <w:ind w:firstLine="709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val="ru-RU" w:eastAsia="ru-RU" w:bidi="ar-SA"/>
        </w:rPr>
        <w:t>Авдеева Ирина Анатольевна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, заместитель начальника отдела назначения и перерасчета пенсий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Тел. (4234)319-092 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e-mail: 160101@035.pfr.ru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364e3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364e3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64e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726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files/id/docman/Spravochnik_OBR_organizatsiy_21.09.2020.xlsx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Application>LibreOffice/6.3.5.2$Windows_x86 LibreOffice_project/dd0751754f11728f69b42ee2af66670068624673</Application>
  <Pages>1</Pages>
  <Words>278</Words>
  <Characters>2004</Characters>
  <CharactersWithSpaces>2281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2020-10-08T23:10:00Z</dcterms:created>
  <dc:creator>Смыченко Лидия Михайловна</dc:creator>
  <dc:description/>
  <dc:language>ru-RU</dc:language>
  <cp:lastModifiedBy/>
  <cp:lastPrinted>2020-10-19T14:24:01Z</cp:lastPrinted>
  <dcterms:modified xsi:type="dcterms:W3CDTF">2020-11-06T14:56:30Z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